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6A27F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6A27FA">
              <w:rPr>
                <w:rFonts w:asciiTheme="majorHAnsi" w:eastAsiaTheme="majorEastAsia" w:hAnsiTheme="majorHAnsi" w:cstheme="majorBidi"/>
                <w:sz w:val="36"/>
                <w:szCs w:val="36"/>
              </w:rPr>
              <w:t>HAZİRAN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6A27F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6A27F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</w:t>
            </w:r>
            <w:r w:rsidR="009B5C4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6A27F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Ağustos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46E5010" wp14:editId="17022791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064E60">
        <w:rPr>
          <w:rFonts w:ascii="Times New Roman" w:hAnsi="Times New Roman" w:cs="Times New Roman"/>
          <w:b/>
        </w:rPr>
        <w:t>2015</w:t>
      </w:r>
      <w:r w:rsidR="006A27FA">
        <w:rPr>
          <w:rFonts w:ascii="Times New Roman" w:hAnsi="Times New Roman" w:cs="Times New Roman"/>
          <w:b/>
        </w:rPr>
        <w:t xml:space="preserve"> yılı ikinci çeyrek</w:t>
      </w:r>
      <w:r w:rsidR="00EC1844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6A27FA">
        <w:rPr>
          <w:rFonts w:ascii="Times New Roman" w:hAnsi="Times New Roman" w:cs="Times New Roman"/>
          <w:b/>
        </w:rPr>
        <w:t>3</w:t>
      </w:r>
      <w:r w:rsidR="002105CD">
        <w:rPr>
          <w:rFonts w:ascii="Times New Roman" w:hAnsi="Times New Roman" w:cs="Times New Roman"/>
          <w:b/>
        </w:rPr>
        <w:t xml:space="preserve"> </w:t>
      </w:r>
      <w:r w:rsidR="006A27FA">
        <w:rPr>
          <w:rFonts w:ascii="Times New Roman" w:hAnsi="Times New Roman" w:cs="Times New Roman"/>
          <w:b/>
        </w:rPr>
        <w:t>Ağustos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6A27FA">
        <w:rPr>
          <w:rFonts w:ascii="Times New Roman" w:hAnsi="Times New Roman" w:cs="Times New Roman"/>
        </w:rPr>
        <w:t>Haziran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r w:rsidR="006A27FA">
        <w:rPr>
          <w:rFonts w:ascii="Times New Roman" w:hAnsi="Times New Roman" w:cs="Times New Roman"/>
        </w:rPr>
        <w:t>6</w:t>
      </w:r>
      <w:r w:rsidR="009E214D">
        <w:rPr>
          <w:rFonts w:ascii="Times New Roman" w:hAnsi="Times New Roman" w:cs="Times New Roman"/>
        </w:rPr>
        <w:t>,</w:t>
      </w:r>
      <w:r w:rsidR="006A27FA">
        <w:rPr>
          <w:rFonts w:ascii="Times New Roman" w:hAnsi="Times New Roman" w:cs="Times New Roman"/>
        </w:rPr>
        <w:t>1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6A27FA">
        <w:rPr>
          <w:rFonts w:ascii="Times New Roman" w:hAnsi="Times New Roman" w:cs="Times New Roman"/>
        </w:rPr>
        <w:t>10</w:t>
      </w:r>
      <w:r w:rsidR="00287134">
        <w:rPr>
          <w:rFonts w:ascii="Times New Roman" w:hAnsi="Times New Roman" w:cs="Times New Roman"/>
        </w:rPr>
        <w:t>,</w:t>
      </w:r>
      <w:r w:rsidR="006A27FA">
        <w:rPr>
          <w:rFonts w:ascii="Times New Roman" w:hAnsi="Times New Roman" w:cs="Times New Roman"/>
        </w:rPr>
        <w:t>3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6A27FA">
        <w:rPr>
          <w:rFonts w:ascii="Times New Roman" w:hAnsi="Times New Roman" w:cs="Times New Roman"/>
        </w:rPr>
        <w:t>178</w:t>
      </w:r>
      <w:r w:rsidR="00B6407E">
        <w:rPr>
          <w:rFonts w:ascii="Times New Roman" w:hAnsi="Times New Roman" w:cs="Times New Roman"/>
        </w:rPr>
        <w:t>,</w:t>
      </w:r>
      <w:r w:rsidR="006A27FA">
        <w:rPr>
          <w:rFonts w:ascii="Times New Roman" w:hAnsi="Times New Roman" w:cs="Times New Roman"/>
        </w:rPr>
        <w:t>2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>rcu ise %23</w:t>
      </w:r>
      <w:r w:rsidR="00D6755E">
        <w:rPr>
          <w:rFonts w:ascii="Times New Roman" w:hAnsi="Times New Roman" w:cs="Times New Roman"/>
        </w:rPr>
        <w:t>,</w:t>
      </w:r>
      <w:r w:rsidR="006A27FA">
        <w:rPr>
          <w:rFonts w:ascii="Times New Roman" w:hAnsi="Times New Roman" w:cs="Times New Roman"/>
        </w:rPr>
        <w:t>9’lu</w:t>
      </w:r>
      <w:r w:rsidR="004E4A4B">
        <w:rPr>
          <w:rFonts w:ascii="Times New Roman" w:hAnsi="Times New Roman" w:cs="Times New Roman"/>
        </w:rPr>
        <w:t>k bir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6A27FA">
        <w:rPr>
          <w:rFonts w:ascii="Times New Roman" w:hAnsi="Times New Roman" w:cs="Times New Roman"/>
        </w:rPr>
        <w:t>33,8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F90EAF">
        <w:rPr>
          <w:rFonts w:ascii="Times New Roman" w:hAnsi="Times New Roman" w:cs="Times New Roman"/>
        </w:rPr>
        <w:t xml:space="preserve">Böylelikle toplam kredi borcu </w:t>
      </w:r>
      <w:r w:rsidR="0076711B">
        <w:rPr>
          <w:rFonts w:ascii="Times New Roman" w:hAnsi="Times New Roman" w:cs="Times New Roman"/>
        </w:rPr>
        <w:t xml:space="preserve">yaklaşık </w:t>
      </w:r>
      <w:r w:rsidR="002105CD">
        <w:rPr>
          <w:rFonts w:ascii="Times New Roman" w:hAnsi="Times New Roman" w:cs="Times New Roman"/>
        </w:rPr>
        <w:t>3</w:t>
      </w:r>
      <w:r w:rsidR="006A27FA">
        <w:rPr>
          <w:rFonts w:ascii="Times New Roman" w:hAnsi="Times New Roman" w:cs="Times New Roman"/>
        </w:rPr>
        <w:t>07</w:t>
      </w:r>
      <w:r w:rsidR="00D6755E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>mily</w:t>
      </w:r>
      <w:r w:rsidR="006A27FA">
        <w:rPr>
          <w:rFonts w:ascii="Times New Roman" w:hAnsi="Times New Roman" w:cs="Times New Roman"/>
        </w:rPr>
        <w:t>on ABD doları azalarak 211</w:t>
      </w:r>
      <w:r w:rsidR="00B6407E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9</w:t>
      </w:r>
      <w:r w:rsidR="004E4A4B">
        <w:rPr>
          <w:rFonts w:ascii="Times New Roman" w:hAnsi="Times New Roman" w:cs="Times New Roman"/>
        </w:rPr>
        <w:t xml:space="preserve"> </w:t>
      </w:r>
      <w:r w:rsidR="001F27E9" w:rsidRPr="00F90EAF">
        <w:rPr>
          <w:rFonts w:ascii="Times New Roman" w:hAnsi="Times New Roman" w:cs="Times New Roman"/>
        </w:rPr>
        <w:t xml:space="preserve">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</w:t>
      </w:r>
      <w:r w:rsidR="004E4A4B">
        <w:rPr>
          <w:rFonts w:ascii="Times New Roman" w:hAnsi="Times New Roman" w:cs="Times New Roman"/>
        </w:rPr>
        <w:t>seviyesin</w:t>
      </w:r>
      <w:r w:rsidR="00D6755E">
        <w:rPr>
          <w:rFonts w:ascii="Times New Roman" w:hAnsi="Times New Roman" w:cs="Times New Roman"/>
        </w:rPr>
        <w:t>de gerçekleş</w:t>
      </w:r>
      <w:r w:rsidR="004E4A4B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8E3B58" w:rsidRDefault="000B7AD4" w:rsidP="000B7AD4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6A27FA">
        <w:rPr>
          <w:rFonts w:ascii="Times New Roman" w:hAnsi="Times New Roman" w:cs="Times New Roman"/>
          <w:b/>
        </w:rPr>
        <w:t>2015 Q2</w:t>
      </w:r>
      <w:r w:rsidRPr="008E3B58">
        <w:rPr>
          <w:rFonts w:ascii="Times New Roman" w:hAnsi="Times New Roman" w:cs="Times New Roman"/>
          <w:b/>
        </w:rPr>
        <w:t>)</w:t>
      </w:r>
    </w:p>
    <w:p w:rsidR="00BF7233" w:rsidRPr="00F90EAF" w:rsidRDefault="006A27FA" w:rsidP="005329DA">
      <w:pPr>
        <w:spacing w:after="0" w:line="192" w:lineRule="auto"/>
        <w:jc w:val="both"/>
        <w:rPr>
          <w:rFonts w:ascii="Times New Roman" w:hAnsi="Times New Roman" w:cs="Times New Roman"/>
        </w:rPr>
      </w:pPr>
      <w:r w:rsidRPr="006A27FA">
        <w:rPr>
          <w:noProof/>
        </w:rPr>
        <w:drawing>
          <wp:inline distT="0" distB="0" distL="0" distR="0" wp14:anchorId="5FED9BDF" wp14:editId="3981B006">
            <wp:extent cx="5280739" cy="344170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68" cy="3445434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</w:t>
      </w:r>
      <w:r w:rsidR="002105CD">
        <w:rPr>
          <w:rFonts w:ascii="Times New Roman" w:hAnsi="Times New Roman" w:cs="Times New Roman"/>
          <w:b/>
        </w:rPr>
        <w:t>53</w:t>
      </w:r>
      <w:r w:rsidR="00AD4583" w:rsidRPr="00F90EAF">
        <w:rPr>
          <w:rFonts w:ascii="Times New Roman" w:hAnsi="Times New Roman" w:cs="Times New Roman"/>
          <w:b/>
        </w:rPr>
        <w:t>,</w:t>
      </w:r>
      <w:r w:rsidR="00A469B7">
        <w:rPr>
          <w:rFonts w:ascii="Times New Roman" w:hAnsi="Times New Roman" w:cs="Times New Roman"/>
          <w:b/>
        </w:rPr>
        <w:t>2</w:t>
      </w:r>
      <w:r w:rsidRPr="00F90EAF">
        <w:rPr>
          <w:rFonts w:ascii="Times New Roman" w:hAnsi="Times New Roman" w:cs="Times New Roman"/>
          <w:b/>
        </w:rPr>
        <w:t>), finansal olmay</w:t>
      </w:r>
      <w:r w:rsidR="002105CD">
        <w:rPr>
          <w:rFonts w:ascii="Times New Roman" w:hAnsi="Times New Roman" w:cs="Times New Roman"/>
          <w:b/>
        </w:rPr>
        <w:t>an kesimin kredi borcundan (%46</w:t>
      </w:r>
      <w:r w:rsidR="00364D90" w:rsidRPr="00F90EAF">
        <w:rPr>
          <w:rFonts w:ascii="Times New Roman" w:hAnsi="Times New Roman" w:cs="Times New Roman"/>
          <w:b/>
        </w:rPr>
        <w:t>,</w:t>
      </w:r>
      <w:r w:rsidR="00A469B7">
        <w:rPr>
          <w:rFonts w:ascii="Times New Roman" w:hAnsi="Times New Roman" w:cs="Times New Roman"/>
          <w:b/>
        </w:rPr>
        <w:t>8</w:t>
      </w:r>
      <w:r w:rsidRPr="00F90EAF">
        <w:rPr>
          <w:rFonts w:ascii="Times New Roman" w:hAnsi="Times New Roman" w:cs="Times New Roman"/>
          <w:b/>
        </w:rPr>
        <w:t xml:space="preserve">) daha </w:t>
      </w:r>
      <w:r w:rsidR="00145A47">
        <w:rPr>
          <w:rFonts w:ascii="Times New Roman" w:hAnsi="Times New Roman" w:cs="Times New Roman"/>
          <w:b/>
        </w:rPr>
        <w:t>f</w:t>
      </w:r>
      <w:r w:rsidRPr="00F90EAF">
        <w:rPr>
          <w:rFonts w:ascii="Times New Roman" w:hAnsi="Times New Roman" w:cs="Times New Roman"/>
          <w:b/>
        </w:rPr>
        <w:t>az</w:t>
      </w:r>
      <w:r w:rsidR="00145A47">
        <w:rPr>
          <w:rFonts w:ascii="Times New Roman" w:hAnsi="Times New Roman" w:cs="Times New Roman"/>
          <w:b/>
        </w:rPr>
        <w:t>la</w:t>
      </w:r>
      <w:r w:rsidRPr="00F90EAF">
        <w:rPr>
          <w:rFonts w:ascii="Times New Roman" w:hAnsi="Times New Roman" w:cs="Times New Roman"/>
          <w:b/>
        </w:rPr>
        <w:t xml:space="preserve"> olduğu görülmektedir.</w:t>
      </w:r>
      <w:r w:rsidRPr="00145A47">
        <w:rPr>
          <w:rFonts w:ascii="Times New Roman" w:hAnsi="Times New Roman" w:cs="Times New Roman"/>
        </w:rPr>
        <w:t xml:space="preserve"> </w:t>
      </w:r>
      <w:r w:rsidR="00012E7A">
        <w:rPr>
          <w:rFonts w:ascii="Times New Roman" w:hAnsi="Times New Roman" w:cs="Times New Roman"/>
        </w:rPr>
        <w:t xml:space="preserve">Bununla birlikte </w:t>
      </w:r>
      <w:r w:rsidR="00EC5377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>
        <w:rPr>
          <w:rFonts w:ascii="Times New Roman" w:hAnsi="Times New Roman" w:cs="Times New Roman"/>
        </w:rPr>
        <w:t>nın</w:t>
      </w:r>
      <w:r w:rsidR="00EC5377">
        <w:rPr>
          <w:rFonts w:ascii="Times New Roman" w:hAnsi="Times New Roman" w:cs="Times New Roman"/>
        </w:rPr>
        <w:t>, finansal olmayan kesimin payınd</w:t>
      </w:r>
      <w:r w:rsidR="00752EB0">
        <w:rPr>
          <w:rFonts w:ascii="Times New Roman" w:hAnsi="Times New Roman" w:cs="Times New Roman"/>
        </w:rPr>
        <w:t>an daha düşük bir seviyede olduğu görülmekteydi.</w:t>
      </w:r>
      <w:r w:rsidR="00EC5377">
        <w:rPr>
          <w:rFonts w:ascii="Times New Roman" w:hAnsi="Times New Roman" w:cs="Times New Roman"/>
        </w:rPr>
        <w:t xml:space="preserve"> Finansal kesimin payının yükselmesinin temelinde, bankaların </w:t>
      </w:r>
      <w:r w:rsidR="00C92967">
        <w:rPr>
          <w:rFonts w:ascii="Times New Roman" w:hAnsi="Times New Roman" w:cs="Times New Roman"/>
        </w:rPr>
        <w:t>t</w:t>
      </w:r>
      <w:r w:rsidR="00EC5377">
        <w:rPr>
          <w:rFonts w:ascii="Times New Roman" w:hAnsi="Times New Roman" w:cs="Times New Roman"/>
        </w:rPr>
        <w:t xml:space="preserve">ahvil </w:t>
      </w:r>
      <w:r w:rsidR="00EE67C7">
        <w:rPr>
          <w:rFonts w:ascii="Times New Roman" w:hAnsi="Times New Roman" w:cs="Times New Roman"/>
        </w:rPr>
        <w:t xml:space="preserve">ve kredi borcunda gerçekleşen </w:t>
      </w:r>
      <w:r w:rsidR="00EC5377">
        <w:rPr>
          <w:rFonts w:ascii="Times New Roman" w:hAnsi="Times New Roman" w:cs="Times New Roman"/>
        </w:rPr>
        <w:t>artış</w:t>
      </w:r>
      <w:r w:rsidR="00012E7A">
        <w:rPr>
          <w:rFonts w:ascii="Times New Roman" w:hAnsi="Times New Roman" w:cs="Times New Roman"/>
        </w:rPr>
        <w:t xml:space="preserve"> yatmaktadı</w:t>
      </w:r>
      <w:r w:rsidR="00EC5377">
        <w:rPr>
          <w:rFonts w:ascii="Times New Roman" w:hAnsi="Times New Roman" w:cs="Times New Roman"/>
        </w:rPr>
        <w:t>r.</w:t>
      </w:r>
      <w:r w:rsidR="003C2E43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Büyük çoğunluğunu bankaların oluşturduğu finansal kesimin uzu</w:t>
      </w:r>
      <w:r w:rsidR="003C2E43">
        <w:rPr>
          <w:rFonts w:ascii="Times New Roman" w:hAnsi="Times New Roman" w:cs="Times New Roman"/>
        </w:rPr>
        <w:t>n vadeli kredi borcu, 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</w:t>
      </w:r>
      <w:r w:rsidR="00752DA5" w:rsidRPr="00F90EAF">
        <w:rPr>
          <w:rFonts w:ascii="Times New Roman" w:hAnsi="Times New Roman" w:cs="Times New Roman"/>
        </w:rPr>
        <w:t>sonuna</w:t>
      </w:r>
      <w:r w:rsidR="00E01DC4">
        <w:rPr>
          <w:rFonts w:ascii="Times New Roman" w:hAnsi="Times New Roman" w:cs="Times New Roman"/>
        </w:rPr>
        <w:t xml:space="preserve"> göre</w:t>
      </w:r>
      <w:r w:rsidR="00752DA5" w:rsidRPr="00F90EAF">
        <w:rPr>
          <w:rFonts w:ascii="Times New Roman" w:hAnsi="Times New Roman" w:cs="Times New Roman"/>
        </w:rPr>
        <w:t xml:space="preserve"> </w:t>
      </w:r>
      <w:r w:rsidR="00A469B7">
        <w:rPr>
          <w:rFonts w:ascii="Times New Roman" w:hAnsi="Times New Roman" w:cs="Times New Roman"/>
        </w:rPr>
        <w:t>9</w:t>
      </w:r>
      <w:r w:rsidR="009E214D">
        <w:rPr>
          <w:rFonts w:ascii="Times New Roman" w:hAnsi="Times New Roman" w:cs="Times New Roman"/>
        </w:rPr>
        <w:t>,</w:t>
      </w:r>
      <w:r w:rsidR="00A469B7">
        <w:rPr>
          <w:rFonts w:ascii="Times New Roman" w:hAnsi="Times New Roman" w:cs="Times New Roman"/>
        </w:rPr>
        <w:t>8</w:t>
      </w:r>
      <w:r w:rsidR="00E01DC4">
        <w:rPr>
          <w:rFonts w:ascii="Times New Roman" w:hAnsi="Times New Roman" w:cs="Times New Roman"/>
        </w:rPr>
        <w:t xml:space="preserve"> mily</w:t>
      </w:r>
      <w:r w:rsidR="00A07EA4">
        <w:rPr>
          <w:rFonts w:ascii="Times New Roman" w:hAnsi="Times New Roman" w:cs="Times New Roman"/>
        </w:rPr>
        <w:t>ar</w:t>
      </w:r>
      <w:r w:rsidR="00E01DC4">
        <w:rPr>
          <w:rFonts w:ascii="Times New Roman" w:hAnsi="Times New Roman" w:cs="Times New Roman"/>
        </w:rPr>
        <w:t xml:space="preserve"> ABD doları a</w:t>
      </w:r>
      <w:r w:rsidR="00A07EA4">
        <w:rPr>
          <w:rFonts w:ascii="Times New Roman" w:hAnsi="Times New Roman" w:cs="Times New Roman"/>
        </w:rPr>
        <w:t>rta</w:t>
      </w:r>
      <w:r w:rsidR="00012E7A">
        <w:rPr>
          <w:rFonts w:ascii="Times New Roman" w:hAnsi="Times New Roman" w:cs="Times New Roman"/>
        </w:rPr>
        <w:t>rak</w:t>
      </w:r>
      <w:r w:rsidR="002F0465" w:rsidRPr="00F90EAF">
        <w:rPr>
          <w:rFonts w:ascii="Times New Roman" w:hAnsi="Times New Roman" w:cs="Times New Roman"/>
        </w:rPr>
        <w:t xml:space="preserve"> </w:t>
      </w:r>
      <w:r w:rsidR="009E214D">
        <w:rPr>
          <w:rFonts w:ascii="Times New Roman" w:hAnsi="Times New Roman" w:cs="Times New Roman"/>
        </w:rPr>
        <w:t>yaklaşık 9</w:t>
      </w:r>
      <w:r w:rsidR="00A469B7">
        <w:rPr>
          <w:rFonts w:ascii="Times New Roman" w:hAnsi="Times New Roman" w:cs="Times New Roman"/>
        </w:rPr>
        <w:t>4</w:t>
      </w:r>
      <w:r w:rsidR="00E01DC4">
        <w:rPr>
          <w:rFonts w:ascii="Times New Roman" w:hAnsi="Times New Roman" w:cs="Times New Roman"/>
        </w:rPr>
        <w:t>,</w:t>
      </w:r>
      <w:r w:rsidR="00A469B7">
        <w:rPr>
          <w:rFonts w:ascii="Times New Roman" w:hAnsi="Times New Roman" w:cs="Times New Roman"/>
        </w:rPr>
        <w:t>8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3C2E43">
        <w:rPr>
          <w:rFonts w:ascii="Times New Roman" w:hAnsi="Times New Roman" w:cs="Times New Roman"/>
        </w:rPr>
        <w:t>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yılsonuna göre </w:t>
      </w:r>
      <w:r w:rsidR="00A469B7">
        <w:rPr>
          <w:rFonts w:ascii="Times New Roman" w:hAnsi="Times New Roman" w:cs="Times New Roman"/>
        </w:rPr>
        <w:t>487 milyon</w:t>
      </w:r>
      <w:r w:rsidR="002E73BA" w:rsidRPr="00F90EAF">
        <w:rPr>
          <w:rFonts w:ascii="Times New Roman" w:hAnsi="Times New Roman" w:cs="Times New Roman"/>
        </w:rPr>
        <w:t xml:space="preserve"> ABD doları </w:t>
      </w:r>
      <w:r w:rsidR="00A469B7">
        <w:rPr>
          <w:rFonts w:ascii="Times New Roman" w:hAnsi="Times New Roman" w:cs="Times New Roman"/>
        </w:rPr>
        <w:t>art</w:t>
      </w:r>
      <w:r w:rsidR="003C2E43">
        <w:rPr>
          <w:rFonts w:ascii="Times New Roman" w:hAnsi="Times New Roman" w:cs="Times New Roman"/>
        </w:rPr>
        <w:t xml:space="preserve">mış ve </w:t>
      </w:r>
      <w:r w:rsidR="00A469B7">
        <w:rPr>
          <w:rFonts w:ascii="Times New Roman" w:hAnsi="Times New Roman" w:cs="Times New Roman"/>
        </w:rPr>
        <w:t>yaklaşık olarak 83,4</w:t>
      </w:r>
      <w:r w:rsidR="00190AA1" w:rsidRPr="00F90EAF">
        <w:rPr>
          <w:rFonts w:ascii="Times New Roman" w:hAnsi="Times New Roman" w:cs="Times New Roman"/>
        </w:rPr>
        <w:t xml:space="preserve"> milyar AB</w:t>
      </w:r>
      <w:r w:rsidR="00A469B7">
        <w:rPr>
          <w:rFonts w:ascii="Times New Roman" w:hAnsi="Times New Roman" w:cs="Times New Roman"/>
        </w:rPr>
        <w:t xml:space="preserve">D dolarına ulaşmıştır </w:t>
      </w:r>
      <w:r w:rsidR="00A53543">
        <w:rPr>
          <w:rFonts w:ascii="Times New Roman" w:hAnsi="Times New Roman" w:cs="Times New Roman"/>
        </w:rPr>
        <w:t>(Tablo 1)</w:t>
      </w:r>
      <w:r w:rsidR="002E73BA" w:rsidRPr="00F90EAF">
        <w:rPr>
          <w:rFonts w:ascii="Times New Roman" w:hAnsi="Times New Roman" w:cs="Times New Roman"/>
        </w:rPr>
        <w:t>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</w:t>
      </w:r>
      <w:r w:rsidR="00A07EA4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>ğunu göstermektedir</w:t>
      </w:r>
      <w:r w:rsidR="00A07EA4">
        <w:rPr>
          <w:rFonts w:ascii="Times New Roman" w:hAnsi="Times New Roman" w:cs="Times New Roman"/>
          <w:b/>
        </w:rPr>
        <w:t xml:space="preserve"> (%89</w:t>
      </w:r>
      <w:r w:rsidR="00E51A7C">
        <w:rPr>
          <w:rFonts w:ascii="Times New Roman" w:hAnsi="Times New Roman" w:cs="Times New Roman"/>
          <w:b/>
        </w:rPr>
        <w:t>,8</w:t>
      </w:r>
      <w:r w:rsidR="003712B3">
        <w:rPr>
          <w:rFonts w:ascii="Times New Roman" w:hAnsi="Times New Roman" w:cs="Times New Roman"/>
          <w:b/>
        </w:rPr>
        <w:t>)</w:t>
      </w:r>
      <w:r w:rsidR="002E73BA" w:rsidRPr="00F90EAF">
        <w:rPr>
          <w:rFonts w:ascii="Times New Roman" w:hAnsi="Times New Roman" w:cs="Times New Roman"/>
          <w:b/>
        </w:rPr>
        <w:t xml:space="preserve">. </w:t>
      </w:r>
      <w:r w:rsidR="002E73BA" w:rsidRPr="00F90EAF">
        <w:rPr>
          <w:rFonts w:ascii="Times New Roman" w:hAnsi="Times New Roman" w:cs="Times New Roman"/>
        </w:rPr>
        <w:t>Özel alac</w:t>
      </w:r>
      <w:r w:rsidR="003712B3">
        <w:rPr>
          <w:rFonts w:ascii="Times New Roman" w:hAnsi="Times New Roman" w:cs="Times New Roman"/>
        </w:rPr>
        <w:t xml:space="preserve">aklıların uzun vadeli kredi borcu 2015 yılı </w:t>
      </w:r>
      <w:r w:rsidR="00E51A7C">
        <w:rPr>
          <w:rFonts w:ascii="Times New Roman" w:hAnsi="Times New Roman" w:cs="Times New Roman"/>
        </w:rPr>
        <w:t>Haziran</w:t>
      </w:r>
      <w:r w:rsidR="009E214D">
        <w:rPr>
          <w:rFonts w:ascii="Times New Roman" w:hAnsi="Times New Roman" w:cs="Times New Roman"/>
        </w:rPr>
        <w:t xml:space="preserve"> </w:t>
      </w:r>
      <w:r w:rsidR="00A07EA4">
        <w:rPr>
          <w:rFonts w:ascii="Times New Roman" w:hAnsi="Times New Roman" w:cs="Times New Roman"/>
        </w:rPr>
        <w:t>sonunda</w:t>
      </w:r>
      <w:r w:rsidR="003712B3">
        <w:rPr>
          <w:rFonts w:ascii="Times New Roman" w:hAnsi="Times New Roman" w:cs="Times New Roman"/>
        </w:rPr>
        <w:t xml:space="preserve">, 2014 yılsonuna göre </w:t>
      </w:r>
      <w:r w:rsidR="00E51A7C">
        <w:rPr>
          <w:rFonts w:ascii="Times New Roman" w:hAnsi="Times New Roman" w:cs="Times New Roman"/>
        </w:rPr>
        <w:t>8</w:t>
      </w:r>
      <w:r w:rsidR="002832A8">
        <w:rPr>
          <w:rFonts w:ascii="Times New Roman" w:hAnsi="Times New Roman" w:cs="Times New Roman"/>
        </w:rPr>
        <w:t>,</w:t>
      </w:r>
      <w:r w:rsidR="00690B06">
        <w:rPr>
          <w:rFonts w:ascii="Times New Roman" w:hAnsi="Times New Roman" w:cs="Times New Roman"/>
        </w:rPr>
        <w:t>5</w:t>
      </w:r>
      <w:r w:rsidR="003712B3">
        <w:rPr>
          <w:rFonts w:ascii="Times New Roman" w:hAnsi="Times New Roman" w:cs="Times New Roman"/>
        </w:rPr>
        <w:t xml:space="preserve"> mily</w:t>
      </w:r>
      <w:r w:rsidR="002832A8">
        <w:rPr>
          <w:rFonts w:ascii="Times New Roman" w:hAnsi="Times New Roman" w:cs="Times New Roman"/>
        </w:rPr>
        <w:t>ar</w:t>
      </w:r>
      <w:r w:rsidR="003712B3">
        <w:rPr>
          <w:rFonts w:ascii="Times New Roman" w:hAnsi="Times New Roman" w:cs="Times New Roman"/>
        </w:rPr>
        <w:t xml:space="preserve"> ABD doları a</w:t>
      </w:r>
      <w:r w:rsidR="002832A8">
        <w:rPr>
          <w:rFonts w:ascii="Times New Roman" w:hAnsi="Times New Roman" w:cs="Times New Roman"/>
        </w:rPr>
        <w:t>rtarak</w:t>
      </w:r>
      <w:r w:rsidR="003712B3">
        <w:rPr>
          <w:rFonts w:ascii="Times New Roman" w:hAnsi="Times New Roman" w:cs="Times New Roman"/>
        </w:rPr>
        <w:t xml:space="preserve"> </w:t>
      </w:r>
      <w:r w:rsidR="00A07EA4">
        <w:rPr>
          <w:rFonts w:ascii="Times New Roman" w:hAnsi="Times New Roman" w:cs="Times New Roman"/>
        </w:rPr>
        <w:t xml:space="preserve">yaklaşık </w:t>
      </w:r>
      <w:r w:rsidR="003712B3">
        <w:rPr>
          <w:rFonts w:ascii="Times New Roman" w:hAnsi="Times New Roman" w:cs="Times New Roman"/>
        </w:rPr>
        <w:t>1</w:t>
      </w:r>
      <w:r w:rsidR="00E51A7C">
        <w:rPr>
          <w:rFonts w:ascii="Times New Roman" w:hAnsi="Times New Roman" w:cs="Times New Roman"/>
        </w:rPr>
        <w:t>31</w:t>
      </w:r>
      <w:r w:rsidR="003712B3">
        <w:rPr>
          <w:rFonts w:ascii="Times New Roman" w:hAnsi="Times New Roman" w:cs="Times New Roman"/>
        </w:rPr>
        <w:t>,</w:t>
      </w:r>
      <w:r w:rsidR="00E51A7C">
        <w:rPr>
          <w:rFonts w:ascii="Times New Roman" w:hAnsi="Times New Roman" w:cs="Times New Roman"/>
        </w:rPr>
        <w:t>6</w:t>
      </w:r>
      <w:r w:rsidR="003712B3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>
        <w:rPr>
          <w:rFonts w:ascii="Times New Roman" w:hAnsi="Times New Roman" w:cs="Times New Roman"/>
        </w:rPr>
        <w:t xml:space="preserve">m uzun vadeli kredilerdeki payı </w:t>
      </w:r>
      <w:r w:rsidR="002832A8">
        <w:rPr>
          <w:rFonts w:ascii="Times New Roman" w:hAnsi="Times New Roman" w:cs="Times New Roman"/>
        </w:rPr>
        <w:t>%73</w:t>
      </w:r>
      <w:r w:rsidR="00A07EA4">
        <w:rPr>
          <w:rFonts w:ascii="Times New Roman" w:hAnsi="Times New Roman" w:cs="Times New Roman"/>
        </w:rPr>
        <w:t>,</w:t>
      </w:r>
      <w:r w:rsidR="00E51A7C">
        <w:rPr>
          <w:rFonts w:ascii="Times New Roman" w:hAnsi="Times New Roman" w:cs="Times New Roman"/>
        </w:rPr>
        <w:t>3</w:t>
      </w:r>
      <w:r w:rsidR="00690B06">
        <w:rPr>
          <w:rFonts w:ascii="Times New Roman" w:hAnsi="Times New Roman" w:cs="Times New Roman"/>
        </w:rPr>
        <w:t xml:space="preserve"> olmuştur</w:t>
      </w:r>
      <w:r w:rsidR="003712B3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Tahvil</w:t>
      </w:r>
      <w:r w:rsidR="002B6D72">
        <w:rPr>
          <w:rFonts w:ascii="Times New Roman" w:hAnsi="Times New Roman" w:cs="Times New Roman"/>
        </w:rPr>
        <w:t xml:space="preserve"> hariç toplam kredi borcunun</w:t>
      </w:r>
      <w:r w:rsidR="00690B06">
        <w:rPr>
          <w:rFonts w:ascii="Times New Roman" w:hAnsi="Times New Roman" w:cs="Times New Roman"/>
        </w:rPr>
        <w:t xml:space="preserve"> yaklaşık</w:t>
      </w:r>
      <w:r w:rsidR="002B6D72">
        <w:rPr>
          <w:rFonts w:ascii="Times New Roman" w:hAnsi="Times New Roman" w:cs="Times New Roman"/>
        </w:rPr>
        <w:t xml:space="preserve"> %1</w:t>
      </w:r>
      <w:r w:rsidR="00E51A7C">
        <w:rPr>
          <w:rFonts w:ascii="Times New Roman" w:hAnsi="Times New Roman" w:cs="Times New Roman"/>
        </w:rPr>
        <w:t>0,2</w:t>
      </w:r>
      <w:r w:rsidR="002B6D72">
        <w:rPr>
          <w:rFonts w:ascii="Times New Roman" w:hAnsi="Times New Roman" w:cs="Times New Roman"/>
        </w:rPr>
        <w:t>’</w:t>
      </w:r>
      <w:r w:rsidR="00E51A7C">
        <w:rPr>
          <w:rFonts w:ascii="Times New Roman" w:hAnsi="Times New Roman" w:cs="Times New Roman"/>
        </w:rPr>
        <w:t>s</w:t>
      </w:r>
      <w:r w:rsidR="00E01DC4">
        <w:rPr>
          <w:rFonts w:ascii="Times New Roman" w:hAnsi="Times New Roman" w:cs="Times New Roman"/>
        </w:rPr>
        <w:t>ini</w:t>
      </w:r>
      <w:r w:rsidRPr="00F90EAF">
        <w:rPr>
          <w:rFonts w:ascii="Times New Roman" w:hAnsi="Times New Roman" w:cs="Times New Roman"/>
        </w:rPr>
        <w:t xml:space="preserve"> oluşturan resmi alacaklar ise </w:t>
      </w:r>
      <w:r w:rsidR="00E51A7C">
        <w:rPr>
          <w:rFonts w:ascii="Times New Roman" w:hAnsi="Times New Roman" w:cs="Times New Roman"/>
        </w:rPr>
        <w:t xml:space="preserve">yaklaşık </w:t>
      </w:r>
      <w:r w:rsidR="002832A8">
        <w:rPr>
          <w:rFonts w:ascii="Times New Roman" w:hAnsi="Times New Roman" w:cs="Times New Roman"/>
        </w:rPr>
        <w:t>14,9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1D182D" w:rsidRPr="002105CD" w:rsidRDefault="00033D95" w:rsidP="00635369">
      <w:pPr>
        <w:jc w:val="both"/>
        <w:rPr>
          <w:noProof/>
        </w:rPr>
      </w:pPr>
      <w:r w:rsidRPr="00033D95">
        <w:rPr>
          <w:noProof/>
        </w:rPr>
        <w:drawing>
          <wp:inline distT="0" distB="0" distL="0" distR="0" wp14:anchorId="22348C5F" wp14:editId="54F9E65C">
            <wp:extent cx="5972810" cy="2277701"/>
            <wp:effectExtent l="0" t="0" r="0" b="889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7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>
        <w:rPr>
          <w:rFonts w:ascii="Times New Roman" w:hAnsi="Times New Roman" w:cs="Times New Roman"/>
          <w:b/>
        </w:rPr>
        <w:t xml:space="preserve">borcun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E127FA">
        <w:rPr>
          <w:rFonts w:ascii="Times New Roman" w:hAnsi="Times New Roman" w:cs="Times New Roman"/>
          <w:b/>
        </w:rPr>
        <w:t>2</w:t>
      </w:r>
      <w:r w:rsidR="00294D7E">
        <w:rPr>
          <w:rFonts w:ascii="Times New Roman" w:hAnsi="Times New Roman" w:cs="Times New Roman"/>
          <w:b/>
        </w:rPr>
        <w:t>,</w:t>
      </w:r>
      <w:r w:rsidR="00E127FA">
        <w:rPr>
          <w:rFonts w:ascii="Times New Roman" w:hAnsi="Times New Roman" w:cs="Times New Roman"/>
          <w:b/>
        </w:rPr>
        <w:t>3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34002F">
        <w:rPr>
          <w:rFonts w:ascii="Times New Roman" w:hAnsi="Times New Roman" w:cs="Times New Roman"/>
          <w:b/>
        </w:rPr>
        <w:t xml:space="preserve"> %</w:t>
      </w:r>
      <w:r w:rsidR="00E127FA">
        <w:rPr>
          <w:rFonts w:ascii="Times New Roman" w:hAnsi="Times New Roman" w:cs="Times New Roman"/>
          <w:b/>
        </w:rPr>
        <w:t>7</w:t>
      </w:r>
      <w:r w:rsidR="00294D7E">
        <w:rPr>
          <w:rFonts w:ascii="Times New Roman" w:hAnsi="Times New Roman" w:cs="Times New Roman"/>
          <w:b/>
        </w:rPr>
        <w:t>,</w:t>
      </w:r>
      <w:r w:rsidR="00E127FA">
        <w:rPr>
          <w:rFonts w:ascii="Times New Roman" w:hAnsi="Times New Roman" w:cs="Times New Roman"/>
          <w:b/>
        </w:rPr>
        <w:t>7</w:t>
      </w:r>
      <w:r w:rsidR="009444C4">
        <w:rPr>
          <w:rFonts w:ascii="Times New Roman" w:hAnsi="Times New Roman" w:cs="Times New Roman"/>
          <w:b/>
        </w:rPr>
        <w:t>’</w:t>
      </w:r>
      <w:r w:rsidR="00294D7E">
        <w:rPr>
          <w:rFonts w:ascii="Times New Roman" w:hAnsi="Times New Roman" w:cs="Times New Roman"/>
          <w:b/>
        </w:rPr>
        <w:t>d</w:t>
      </w:r>
      <w:r w:rsidR="009444C4">
        <w:rPr>
          <w:rFonts w:ascii="Times New Roman" w:hAnsi="Times New Roman" w:cs="Times New Roman"/>
          <w:b/>
        </w:rPr>
        <w:t>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>adeli kredi borcu içinde finansal kuruluşların borcu 201</w:t>
      </w:r>
      <w:r w:rsidR="005347E9">
        <w:rPr>
          <w:rFonts w:ascii="Times New Roman" w:hAnsi="Times New Roman" w:cs="Times New Roman"/>
        </w:rPr>
        <w:t xml:space="preserve">5 yılı </w:t>
      </w:r>
      <w:r w:rsidR="00E127FA">
        <w:rPr>
          <w:rFonts w:ascii="Times New Roman" w:hAnsi="Times New Roman" w:cs="Times New Roman"/>
        </w:rPr>
        <w:t>Haziran</w:t>
      </w:r>
      <w:r w:rsidR="00AA68B6">
        <w:rPr>
          <w:rFonts w:ascii="Times New Roman" w:hAnsi="Times New Roman" w:cs="Times New Roman"/>
        </w:rPr>
        <w:t xml:space="preserve"> sonu i</w:t>
      </w:r>
      <w:r w:rsidR="001B1F80" w:rsidRPr="00F90EAF">
        <w:rPr>
          <w:rFonts w:ascii="Times New Roman" w:hAnsi="Times New Roman" w:cs="Times New Roman"/>
        </w:rPr>
        <w:t>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F866C6">
        <w:rPr>
          <w:rFonts w:ascii="Times New Roman" w:hAnsi="Times New Roman" w:cs="Times New Roman"/>
        </w:rPr>
        <w:t>201</w:t>
      </w:r>
      <w:r w:rsidR="00AA68B6">
        <w:rPr>
          <w:rFonts w:ascii="Times New Roman" w:hAnsi="Times New Roman" w:cs="Times New Roman"/>
        </w:rPr>
        <w:t>4</w:t>
      </w:r>
      <w:r w:rsidR="00F866C6">
        <w:rPr>
          <w:rFonts w:ascii="Times New Roman" w:hAnsi="Times New Roman" w:cs="Times New Roman"/>
        </w:rPr>
        <w:t xml:space="preserve"> yılsonuna göre </w:t>
      </w:r>
      <w:r w:rsidR="00E127FA">
        <w:rPr>
          <w:rFonts w:ascii="Times New Roman" w:hAnsi="Times New Roman" w:cs="Times New Roman"/>
        </w:rPr>
        <w:t>10,4</w:t>
      </w:r>
      <w:r w:rsidR="005347E9">
        <w:rPr>
          <w:rFonts w:ascii="Times New Roman" w:hAnsi="Times New Roman" w:cs="Times New Roman"/>
        </w:rPr>
        <w:t xml:space="preserve"> milyar</w:t>
      </w:r>
      <w:r w:rsidRPr="00F90EAF">
        <w:rPr>
          <w:rFonts w:ascii="Times New Roman" w:hAnsi="Times New Roman" w:cs="Times New Roman"/>
        </w:rPr>
        <w:t xml:space="preserve"> ABD doları </w:t>
      </w:r>
      <w:r w:rsidR="00CF6422">
        <w:rPr>
          <w:rFonts w:ascii="Times New Roman" w:hAnsi="Times New Roman" w:cs="Times New Roman"/>
        </w:rPr>
        <w:t xml:space="preserve">azalarak </w:t>
      </w:r>
      <w:r w:rsidR="00B818FA">
        <w:rPr>
          <w:rFonts w:ascii="Times New Roman" w:hAnsi="Times New Roman" w:cs="Times New Roman"/>
        </w:rPr>
        <w:t>31</w:t>
      </w:r>
      <w:r w:rsidR="00E127FA">
        <w:rPr>
          <w:rFonts w:ascii="Times New Roman" w:hAnsi="Times New Roman" w:cs="Times New Roman"/>
        </w:rPr>
        <w:t>,2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</w:t>
      </w:r>
      <w:r w:rsidR="00F64A3D">
        <w:rPr>
          <w:rFonts w:ascii="Times New Roman" w:hAnsi="Times New Roman" w:cs="Times New Roman"/>
        </w:rPr>
        <w:t>,</w:t>
      </w:r>
      <w:r w:rsidR="00A3231D" w:rsidRPr="00F90EAF">
        <w:rPr>
          <w:rFonts w:ascii="Times New Roman" w:hAnsi="Times New Roman" w:cs="Times New Roman"/>
        </w:rPr>
        <w:t xml:space="preserve"> finansal olm</w:t>
      </w:r>
      <w:r w:rsidRPr="00F90EAF">
        <w:rPr>
          <w:rFonts w:ascii="Times New Roman" w:hAnsi="Times New Roman" w:cs="Times New Roman"/>
        </w:rPr>
        <w:t>ayan kuruluşların borcu</w:t>
      </w:r>
      <w:r w:rsidR="00E127FA">
        <w:rPr>
          <w:rFonts w:ascii="Times New Roman" w:hAnsi="Times New Roman" w:cs="Times New Roman"/>
        </w:rPr>
        <w:t xml:space="preserve"> 207 milyon ABD doları azalmış </w:t>
      </w:r>
      <w:r w:rsidR="00F64A3D">
        <w:rPr>
          <w:rFonts w:ascii="Times New Roman" w:hAnsi="Times New Roman" w:cs="Times New Roman"/>
        </w:rPr>
        <w:t xml:space="preserve">ve </w:t>
      </w:r>
      <w:r w:rsidR="00E127FA">
        <w:rPr>
          <w:rFonts w:ascii="Times New Roman" w:hAnsi="Times New Roman" w:cs="Times New Roman"/>
        </w:rPr>
        <w:t>yaklaşık 2,6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</w:t>
      </w:r>
      <w:r w:rsidR="00AA68B6">
        <w:rPr>
          <w:rFonts w:ascii="Times New Roman" w:hAnsi="Times New Roman" w:cs="Times New Roman"/>
          <w:b/>
        </w:rPr>
        <w:t>7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 xml:space="preserve">, bunun da büyük ölçüde </w:t>
      </w:r>
      <w:r w:rsidRPr="00F90EAF">
        <w:rPr>
          <w:rFonts w:ascii="Times New Roman" w:hAnsi="Times New Roman" w:cs="Times New Roman"/>
          <w:b/>
        </w:rPr>
        <w:lastRenderedPageBreak/>
        <w:t>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</w:t>
      </w:r>
      <w:r w:rsidR="00AA68B6">
        <w:rPr>
          <w:rFonts w:ascii="Times New Roman" w:hAnsi="Times New Roman" w:cs="Times New Roman"/>
        </w:rPr>
        <w:t>Y</w:t>
      </w:r>
      <w:r w:rsidR="007E6CF1" w:rsidRPr="00F90EAF">
        <w:rPr>
          <w:rFonts w:ascii="Times New Roman" w:hAnsi="Times New Roman" w:cs="Times New Roman"/>
        </w:rPr>
        <w:t>abancı ticari b</w:t>
      </w:r>
      <w:r w:rsidR="00057309">
        <w:rPr>
          <w:rFonts w:ascii="Times New Roman" w:hAnsi="Times New Roman" w:cs="Times New Roman"/>
        </w:rPr>
        <w:t>ankalara olan borçlar, 201</w:t>
      </w:r>
      <w:r w:rsidR="00012E7A">
        <w:rPr>
          <w:rFonts w:ascii="Times New Roman" w:hAnsi="Times New Roman" w:cs="Times New Roman"/>
        </w:rPr>
        <w:t xml:space="preserve">5 yılı </w:t>
      </w:r>
      <w:r w:rsidR="00E127FA">
        <w:rPr>
          <w:rFonts w:ascii="Times New Roman" w:hAnsi="Times New Roman" w:cs="Times New Roman"/>
        </w:rPr>
        <w:t>Haziran</w:t>
      </w:r>
      <w:r w:rsidR="00CF6422">
        <w:rPr>
          <w:rFonts w:ascii="Times New Roman" w:hAnsi="Times New Roman" w:cs="Times New Roman"/>
        </w:rPr>
        <w:t xml:space="preserve"> sonunda</w:t>
      </w:r>
      <w:r w:rsidR="00AA68B6">
        <w:rPr>
          <w:rFonts w:ascii="Times New Roman" w:hAnsi="Times New Roman" w:cs="Times New Roman"/>
        </w:rPr>
        <w:t>, 201</w:t>
      </w:r>
      <w:r w:rsidR="005347E9">
        <w:rPr>
          <w:rFonts w:ascii="Times New Roman" w:hAnsi="Times New Roman" w:cs="Times New Roman"/>
        </w:rPr>
        <w:t>4</w:t>
      </w:r>
      <w:r w:rsidR="00AA68B6">
        <w:rPr>
          <w:rFonts w:ascii="Times New Roman" w:hAnsi="Times New Roman" w:cs="Times New Roman"/>
        </w:rPr>
        <w:t xml:space="preserve"> yılsonuna </w:t>
      </w:r>
      <w:r w:rsidR="009444C4">
        <w:rPr>
          <w:rFonts w:ascii="Times New Roman" w:hAnsi="Times New Roman" w:cs="Times New Roman"/>
        </w:rPr>
        <w:t xml:space="preserve">göre </w:t>
      </w:r>
      <w:r w:rsidR="00E127FA">
        <w:rPr>
          <w:rFonts w:ascii="Times New Roman" w:hAnsi="Times New Roman" w:cs="Times New Roman"/>
        </w:rPr>
        <w:t>10</w:t>
      </w:r>
      <w:r w:rsidR="00B818FA">
        <w:rPr>
          <w:rFonts w:ascii="Times New Roman" w:hAnsi="Times New Roman" w:cs="Times New Roman"/>
        </w:rPr>
        <w:t>,</w:t>
      </w:r>
      <w:r w:rsidR="00E127FA">
        <w:rPr>
          <w:rFonts w:ascii="Times New Roman" w:hAnsi="Times New Roman" w:cs="Times New Roman"/>
        </w:rPr>
        <w:t>3</w:t>
      </w:r>
      <w:r w:rsidR="009444C4">
        <w:rPr>
          <w:rFonts w:ascii="Times New Roman" w:hAnsi="Times New Roman" w:cs="Times New Roman"/>
        </w:rPr>
        <w:t xml:space="preserve"> mily</w:t>
      </w:r>
      <w:r w:rsidR="005347E9">
        <w:rPr>
          <w:rFonts w:ascii="Times New Roman" w:hAnsi="Times New Roman" w:cs="Times New Roman"/>
        </w:rPr>
        <w:t>ar</w:t>
      </w:r>
      <w:r w:rsidR="009444C4">
        <w:rPr>
          <w:rFonts w:ascii="Times New Roman" w:hAnsi="Times New Roman" w:cs="Times New Roman"/>
        </w:rPr>
        <w:t xml:space="preserve"> ABD doları a</w:t>
      </w:r>
      <w:r w:rsidR="005347E9">
        <w:rPr>
          <w:rFonts w:ascii="Times New Roman" w:hAnsi="Times New Roman" w:cs="Times New Roman"/>
        </w:rPr>
        <w:t>zalmış</w:t>
      </w:r>
      <w:r w:rsidR="009444C4">
        <w:rPr>
          <w:rFonts w:ascii="Times New Roman" w:hAnsi="Times New Roman" w:cs="Times New Roman"/>
        </w:rPr>
        <w:t xml:space="preserve"> ve </w:t>
      </w:r>
      <w:r w:rsidR="00E127FA">
        <w:rPr>
          <w:rFonts w:ascii="Times New Roman" w:hAnsi="Times New Roman" w:cs="Times New Roman"/>
        </w:rPr>
        <w:t>27</w:t>
      </w:r>
      <w:r w:rsidR="00B818FA">
        <w:rPr>
          <w:rFonts w:ascii="Times New Roman" w:hAnsi="Times New Roman" w:cs="Times New Roman"/>
        </w:rPr>
        <w:t>,</w:t>
      </w:r>
      <w:r w:rsidR="00E127FA">
        <w:rPr>
          <w:rFonts w:ascii="Times New Roman" w:hAnsi="Times New Roman" w:cs="Times New Roman"/>
        </w:rPr>
        <w:t>7</w:t>
      </w:r>
      <w:r w:rsidR="007E6CF1" w:rsidRPr="00F90EAF">
        <w:rPr>
          <w:rFonts w:ascii="Times New Roman" w:hAnsi="Times New Roman" w:cs="Times New Roman"/>
        </w:rPr>
        <w:t xml:space="preserve"> milya</w:t>
      </w:r>
      <w:r w:rsidR="00057309">
        <w:rPr>
          <w:rFonts w:ascii="Times New Roman" w:hAnsi="Times New Roman" w:cs="Times New Roman"/>
        </w:rPr>
        <w:t>r ABD doları seviyesin</w:t>
      </w:r>
      <w:r w:rsidR="00AA68B6">
        <w:rPr>
          <w:rFonts w:ascii="Times New Roman" w:hAnsi="Times New Roman" w:cs="Times New Roman"/>
        </w:rPr>
        <w:t>de gerçekl</w:t>
      </w:r>
      <w:r w:rsidR="00057309">
        <w:rPr>
          <w:rFonts w:ascii="Times New Roman" w:hAnsi="Times New Roman" w:cs="Times New Roman"/>
        </w:rPr>
        <w:t>e</w:t>
      </w:r>
      <w:r w:rsidR="00AA68B6">
        <w:rPr>
          <w:rFonts w:ascii="Times New Roman" w:hAnsi="Times New Roman" w:cs="Times New Roman"/>
        </w:rPr>
        <w:t>ş</w:t>
      </w:r>
      <w:r w:rsidR="00057309">
        <w:rPr>
          <w:rFonts w:ascii="Times New Roman" w:hAnsi="Times New Roman" w:cs="Times New Roman"/>
        </w:rPr>
        <w:t>miştir</w:t>
      </w:r>
      <w:r w:rsidR="007E6CF1" w:rsidRPr="00F90EAF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E127FA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7FA">
        <w:rPr>
          <w:noProof/>
        </w:rPr>
        <w:drawing>
          <wp:inline distT="0" distB="0" distL="0" distR="0" wp14:anchorId="20EFD328" wp14:editId="2B846765">
            <wp:extent cx="5972810" cy="3190328"/>
            <wp:effectExtent l="0" t="0" r="889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9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</w:t>
      </w:r>
      <w:r w:rsidR="006D6592">
        <w:rPr>
          <w:rFonts w:ascii="Times New Roman" w:hAnsi="Times New Roman" w:cs="Times New Roman"/>
        </w:rPr>
        <w:t xml:space="preserve">bir önceki aya göre </w:t>
      </w:r>
      <w:r w:rsidR="00C044D5">
        <w:rPr>
          <w:rFonts w:ascii="Times New Roman" w:hAnsi="Times New Roman" w:cs="Times New Roman"/>
        </w:rPr>
        <w:t>0,2</w:t>
      </w:r>
      <w:r w:rsidR="009876B8">
        <w:rPr>
          <w:rFonts w:ascii="Times New Roman" w:hAnsi="Times New Roman" w:cs="Times New Roman"/>
        </w:rPr>
        <w:t xml:space="preserve"> yüzde puan a</w:t>
      </w:r>
      <w:r w:rsidR="004C6023">
        <w:rPr>
          <w:rFonts w:ascii="Times New Roman" w:hAnsi="Times New Roman" w:cs="Times New Roman"/>
        </w:rPr>
        <w:t>zalmış</w:t>
      </w:r>
      <w:r w:rsidR="009876B8">
        <w:rPr>
          <w:rFonts w:ascii="Times New Roman" w:hAnsi="Times New Roman" w:cs="Times New Roman"/>
        </w:rPr>
        <w:t xml:space="preserve"> </w:t>
      </w:r>
      <w:r w:rsidR="006D6592">
        <w:rPr>
          <w:rFonts w:ascii="Times New Roman" w:hAnsi="Times New Roman" w:cs="Times New Roman"/>
        </w:rPr>
        <w:t>ve</w:t>
      </w:r>
      <w:r w:rsidR="0027694A">
        <w:rPr>
          <w:rFonts w:ascii="Times New Roman" w:hAnsi="Times New Roman" w:cs="Times New Roman"/>
        </w:rPr>
        <w:t xml:space="preserve"> </w:t>
      </w:r>
      <w:r w:rsidR="009459CD">
        <w:rPr>
          <w:rFonts w:ascii="Times New Roman" w:hAnsi="Times New Roman" w:cs="Times New Roman"/>
        </w:rPr>
        <w:t>201</w:t>
      </w:r>
      <w:r w:rsidR="00453754">
        <w:rPr>
          <w:rFonts w:ascii="Times New Roman" w:hAnsi="Times New Roman" w:cs="Times New Roman"/>
        </w:rPr>
        <w:t xml:space="preserve">5 yılı </w:t>
      </w:r>
      <w:r w:rsidR="00C044D5">
        <w:rPr>
          <w:rFonts w:ascii="Times New Roman" w:hAnsi="Times New Roman" w:cs="Times New Roman"/>
        </w:rPr>
        <w:t xml:space="preserve">Haziran </w:t>
      </w:r>
      <w:r w:rsidR="009876B8">
        <w:rPr>
          <w:rFonts w:ascii="Times New Roman" w:hAnsi="Times New Roman" w:cs="Times New Roman"/>
        </w:rPr>
        <w:t>sonu</w:t>
      </w:r>
      <w:r w:rsidR="0027694A">
        <w:rPr>
          <w:rFonts w:ascii="Times New Roman" w:hAnsi="Times New Roman" w:cs="Times New Roman"/>
        </w:rPr>
        <w:t xml:space="preserve"> itibarıyla</w:t>
      </w:r>
      <w:r w:rsidR="009876B8">
        <w:rPr>
          <w:rFonts w:ascii="Times New Roman" w:hAnsi="Times New Roman" w:cs="Times New Roman"/>
        </w:rPr>
        <w:t xml:space="preserve"> </w:t>
      </w:r>
      <w:r w:rsidR="00D752C1">
        <w:rPr>
          <w:rFonts w:ascii="Times New Roman" w:hAnsi="Times New Roman" w:cs="Times New Roman"/>
        </w:rPr>
        <w:t>%6</w:t>
      </w:r>
      <w:r w:rsidR="00C044D5">
        <w:rPr>
          <w:rFonts w:ascii="Times New Roman" w:hAnsi="Times New Roman" w:cs="Times New Roman"/>
        </w:rPr>
        <w:t>1</w:t>
      </w:r>
      <w:r w:rsidR="006D6592">
        <w:rPr>
          <w:rFonts w:ascii="Times New Roman" w:hAnsi="Times New Roman" w:cs="Times New Roman"/>
        </w:rPr>
        <w:t>,</w:t>
      </w:r>
      <w:r w:rsidR="00C044D5">
        <w:rPr>
          <w:rFonts w:ascii="Times New Roman" w:hAnsi="Times New Roman" w:cs="Times New Roman"/>
        </w:rPr>
        <w:t>9</w:t>
      </w:r>
      <w:r w:rsidR="006D6592">
        <w:rPr>
          <w:rFonts w:ascii="Times New Roman" w:hAnsi="Times New Roman" w:cs="Times New Roman"/>
        </w:rPr>
        <w:t xml:space="preserve"> olmuştur</w:t>
      </w:r>
      <w:r w:rsidR="00D752C1">
        <w:rPr>
          <w:rFonts w:ascii="Times New Roman" w:hAnsi="Times New Roman" w:cs="Times New Roman"/>
        </w:rPr>
        <w:t>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B818FA">
        <w:rPr>
          <w:rFonts w:ascii="Times New Roman" w:hAnsi="Times New Roman" w:cs="Times New Roman"/>
        </w:rPr>
        <w:t>%31</w:t>
      </w:r>
      <w:r w:rsidR="00C044D5">
        <w:rPr>
          <w:rFonts w:ascii="Times New Roman" w:hAnsi="Times New Roman" w:cs="Times New Roman"/>
        </w:rPr>
        <w:t>,4 ile Euro, %4,8</w:t>
      </w:r>
      <w:r w:rsidRPr="00D752C1">
        <w:rPr>
          <w:rFonts w:ascii="Times New Roman" w:hAnsi="Times New Roman" w:cs="Times New Roman"/>
        </w:rPr>
        <w:t xml:space="preserve"> ile Türk Lirası ve %</w:t>
      </w:r>
      <w:r w:rsidR="00B818FA">
        <w:rPr>
          <w:rFonts w:ascii="Times New Roman" w:hAnsi="Times New Roman" w:cs="Times New Roman"/>
        </w:rPr>
        <w:t>1,9</w:t>
      </w:r>
      <w:r w:rsidR="00D752C1">
        <w:rPr>
          <w:rFonts w:ascii="Times New Roman" w:hAnsi="Times New Roman" w:cs="Times New Roman"/>
        </w:rPr>
        <w:t xml:space="preserve">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>
        <w:rPr>
          <w:rFonts w:ascii="Times New Roman" w:hAnsi="Times New Roman" w:cs="Times New Roman"/>
          <w:b/>
        </w:rPr>
        <w:t xml:space="preserve">edilerde olduğu görülmektedir.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</w:t>
      </w:r>
      <w:r w:rsidR="0027694A">
        <w:rPr>
          <w:rFonts w:ascii="Times New Roman" w:hAnsi="Times New Roman" w:cs="Times New Roman"/>
        </w:rPr>
        <w:t xml:space="preserve">li kredi borçları içindeki payı </w:t>
      </w:r>
      <w:r w:rsidR="00D752C1">
        <w:rPr>
          <w:rFonts w:ascii="Times New Roman" w:hAnsi="Times New Roman" w:cs="Times New Roman"/>
        </w:rPr>
        <w:t>b</w:t>
      </w:r>
      <w:r w:rsidR="0027694A">
        <w:rPr>
          <w:rFonts w:ascii="Times New Roman" w:hAnsi="Times New Roman" w:cs="Times New Roman"/>
        </w:rPr>
        <w:t>ir öncek</w:t>
      </w:r>
      <w:r w:rsidR="00453754">
        <w:rPr>
          <w:rFonts w:ascii="Times New Roman" w:hAnsi="Times New Roman" w:cs="Times New Roman"/>
        </w:rPr>
        <w:t xml:space="preserve">i aya göre </w:t>
      </w:r>
      <w:r w:rsidR="00C044D5">
        <w:rPr>
          <w:rFonts w:ascii="Times New Roman" w:hAnsi="Times New Roman" w:cs="Times New Roman"/>
        </w:rPr>
        <w:t>0,5</w:t>
      </w:r>
      <w:r w:rsidR="0027694A">
        <w:rPr>
          <w:rFonts w:ascii="Times New Roman" w:hAnsi="Times New Roman" w:cs="Times New Roman"/>
        </w:rPr>
        <w:t xml:space="preserve"> yüzde puan a</w:t>
      </w:r>
      <w:r w:rsidR="00B818FA">
        <w:rPr>
          <w:rFonts w:ascii="Times New Roman" w:hAnsi="Times New Roman" w:cs="Times New Roman"/>
        </w:rPr>
        <w:t>rt</w:t>
      </w:r>
      <w:r w:rsidR="004C6023">
        <w:rPr>
          <w:rFonts w:ascii="Times New Roman" w:hAnsi="Times New Roman" w:cs="Times New Roman"/>
        </w:rPr>
        <w:t>ara</w:t>
      </w:r>
      <w:r w:rsidR="0027694A">
        <w:rPr>
          <w:rFonts w:ascii="Times New Roman" w:hAnsi="Times New Roman" w:cs="Times New Roman"/>
        </w:rPr>
        <w:t>k 201</w:t>
      </w:r>
      <w:r w:rsidR="00453754">
        <w:rPr>
          <w:rFonts w:ascii="Times New Roman" w:hAnsi="Times New Roman" w:cs="Times New Roman"/>
        </w:rPr>
        <w:t xml:space="preserve">5 yılı </w:t>
      </w:r>
      <w:r w:rsidR="00C044D5">
        <w:rPr>
          <w:rFonts w:ascii="Times New Roman" w:hAnsi="Times New Roman" w:cs="Times New Roman"/>
        </w:rPr>
        <w:t>Haziran</w:t>
      </w:r>
      <w:r w:rsidR="009876B8">
        <w:rPr>
          <w:rFonts w:ascii="Times New Roman" w:hAnsi="Times New Roman" w:cs="Times New Roman"/>
        </w:rPr>
        <w:t xml:space="preserve"> sonu</w:t>
      </w:r>
      <w:r w:rsidR="00C044D5">
        <w:rPr>
          <w:rFonts w:ascii="Times New Roman" w:hAnsi="Times New Roman" w:cs="Times New Roman"/>
        </w:rPr>
        <w:t xml:space="preserve"> itibarıyla %59,7</w:t>
      </w:r>
      <w:r w:rsidR="004C6023">
        <w:rPr>
          <w:rFonts w:ascii="Times New Roman" w:hAnsi="Times New Roman" w:cs="Times New Roman"/>
        </w:rPr>
        <w:t xml:space="preserve"> olmuştur</w:t>
      </w:r>
      <w:r w:rsidR="00B818FA">
        <w:rPr>
          <w:rFonts w:ascii="Times New Roman" w:hAnsi="Times New Roman" w:cs="Times New Roman"/>
        </w:rPr>
        <w:t xml:space="preserve">. Bunun ardından </w:t>
      </w:r>
      <w:r w:rsidR="00C044D5">
        <w:rPr>
          <w:rFonts w:ascii="Times New Roman" w:hAnsi="Times New Roman" w:cs="Times New Roman"/>
        </w:rPr>
        <w:t>sırasıyla, %30,6</w:t>
      </w:r>
      <w:r w:rsidRPr="00F90EAF">
        <w:rPr>
          <w:rFonts w:ascii="Times New Roman" w:hAnsi="Times New Roman" w:cs="Times New Roman"/>
        </w:rPr>
        <w:t xml:space="preserve"> ile Euro, %</w:t>
      </w:r>
      <w:r w:rsidR="00C044D5">
        <w:rPr>
          <w:rFonts w:ascii="Times New Roman" w:hAnsi="Times New Roman" w:cs="Times New Roman"/>
        </w:rPr>
        <w:t>9,2</w:t>
      </w:r>
      <w:r w:rsidR="00D752C1">
        <w:rPr>
          <w:rFonts w:ascii="Times New Roman" w:hAnsi="Times New Roman" w:cs="Times New Roman"/>
        </w:rPr>
        <w:t xml:space="preserve"> ile Türk Lirası ve %0,</w:t>
      </w:r>
      <w:r w:rsidR="00C044D5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C044D5">
        <w:rPr>
          <w:rFonts w:ascii="Times New Roman" w:hAnsi="Times New Roman" w:cs="Times New Roman"/>
          <w:b/>
        </w:rPr>
        <w:t>2015 Q2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1B1F80" w:rsidRPr="00C044D5" w:rsidRDefault="00C044D5" w:rsidP="00C044D5">
      <w:pPr>
        <w:jc w:val="both"/>
        <w:rPr>
          <w:rFonts w:ascii="Times New Roman" w:hAnsi="Times New Roman" w:cs="Times New Roman"/>
          <w:b/>
        </w:rPr>
      </w:pPr>
      <w:r w:rsidRPr="00C044D5">
        <w:rPr>
          <w:noProof/>
        </w:rPr>
        <w:drawing>
          <wp:inline distT="0" distB="0" distL="0" distR="0" wp14:anchorId="67AD0625" wp14:editId="73D1AEDA">
            <wp:extent cx="5972810" cy="274824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4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F80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E7568B">
        <w:rPr>
          <w:rFonts w:ascii="Times New Roman" w:hAnsi="Times New Roman" w:cs="Times New Roman"/>
        </w:rPr>
        <w:t>Haziran</w:t>
      </w:r>
      <w:r>
        <w:rPr>
          <w:rFonts w:ascii="Times New Roman" w:hAnsi="Times New Roman" w:cs="Times New Roman"/>
        </w:rPr>
        <w:t xml:space="preserve"> 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E7568B">
        <w:rPr>
          <w:rFonts w:ascii="Times New Roman" w:hAnsi="Times New Roman" w:cs="Times New Roman"/>
        </w:rPr>
        <w:t>sal olmayan kredi borcunun %56,64’ü</w:t>
      </w:r>
      <w:r w:rsidR="00497488">
        <w:rPr>
          <w:rFonts w:ascii="Times New Roman" w:hAnsi="Times New Roman" w:cs="Times New Roman"/>
        </w:rPr>
        <w:t xml:space="preserve"> hizmetler, %4</w:t>
      </w:r>
      <w:r w:rsidR="00A43038">
        <w:rPr>
          <w:rFonts w:ascii="Times New Roman" w:hAnsi="Times New Roman" w:cs="Times New Roman"/>
        </w:rPr>
        <w:t>2,</w:t>
      </w:r>
      <w:r w:rsidR="00E7568B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E7568B">
        <w:rPr>
          <w:rFonts w:ascii="Times New Roman" w:hAnsi="Times New Roman" w:cs="Times New Roman"/>
        </w:rPr>
        <w:t>44</w:t>
      </w:r>
      <w:r w:rsidR="00231C45">
        <w:rPr>
          <w:rFonts w:ascii="Times New Roman" w:hAnsi="Times New Roman" w:cs="Times New Roman"/>
        </w:rPr>
        <w:t>’</w:t>
      </w:r>
      <w:r w:rsidR="00E7568B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 xml:space="preserve">2000’li yılların başlarından 2007 yılına kadar kredi borcunda sanayi sektörü öne çıkarken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E7568B">
        <w:rPr>
          <w:rFonts w:ascii="Times New Roman" w:hAnsi="Times New Roman" w:cs="Times New Roman"/>
        </w:rPr>
        <w:t>3</w:t>
      </w:r>
      <w:r w:rsidR="00874B5B">
        <w:rPr>
          <w:rFonts w:ascii="Times New Roman" w:hAnsi="Times New Roman" w:cs="Times New Roman"/>
        </w:rPr>
        <w:t>,8</w:t>
      </w:r>
      <w:r w:rsidR="00497488">
        <w:rPr>
          <w:rFonts w:ascii="Times New Roman" w:hAnsi="Times New Roman" w:cs="Times New Roman"/>
        </w:rPr>
        <w:t xml:space="preserve"> yüzde puan </w:t>
      </w:r>
      <w:r w:rsidR="00E7568B">
        <w:rPr>
          <w:rFonts w:ascii="Times New Roman" w:hAnsi="Times New Roman" w:cs="Times New Roman"/>
        </w:rPr>
        <w:t>artırdığı, bir önceki çeyreğe göre ise 3,2 yüzde puan azalttığı 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E7568B">
        <w:rPr>
          <w:rFonts w:ascii="Times New Roman" w:hAnsi="Times New Roman" w:cs="Times New Roman"/>
        </w:rPr>
        <w:t>Haziran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</w:t>
      </w:r>
      <w:r w:rsidR="00E7568B">
        <w:rPr>
          <w:rFonts w:ascii="Times New Roman" w:hAnsi="Times New Roman" w:cs="Times New Roman"/>
        </w:rPr>
        <w:t>4</w:t>
      </w:r>
      <w:r w:rsidR="00874B5B">
        <w:rPr>
          <w:rFonts w:ascii="Times New Roman" w:hAnsi="Times New Roman" w:cs="Times New Roman"/>
        </w:rPr>
        <w:t>,9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sırasıyla; %42,2</w:t>
      </w:r>
      <w:r w:rsidR="00A43038">
        <w:rPr>
          <w:rFonts w:ascii="Times New Roman" w:hAnsi="Times New Roman" w:cs="Times New Roman"/>
        </w:rPr>
        <w:t xml:space="preserve"> ve %2</w:t>
      </w:r>
      <w:r w:rsidR="00015991">
        <w:rPr>
          <w:rFonts w:ascii="Times New Roman" w:hAnsi="Times New Roman" w:cs="Times New Roman"/>
        </w:rPr>
        <w:t>,9</w:t>
      </w:r>
      <w:r w:rsidR="005C0E6F" w:rsidRPr="00F90EAF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dur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2015</w:t>
      </w:r>
      <w:r w:rsidR="003C04C6">
        <w:rPr>
          <w:rFonts w:ascii="Times New Roman" w:hAnsi="Times New Roman" w:cs="Times New Roman"/>
          <w:b/>
          <w:bCs/>
        </w:rPr>
        <w:t xml:space="preserve"> </w:t>
      </w:r>
      <w:r w:rsidR="00E7568B">
        <w:rPr>
          <w:rFonts w:ascii="Times New Roman" w:hAnsi="Times New Roman" w:cs="Times New Roman"/>
          <w:b/>
          <w:bCs/>
        </w:rPr>
        <w:t>Q2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E7568B" w:rsidP="00635369">
      <w:pPr>
        <w:jc w:val="both"/>
        <w:rPr>
          <w:rFonts w:ascii="Times New Roman" w:hAnsi="Times New Roman" w:cs="Times New Roman"/>
        </w:rPr>
      </w:pPr>
      <w:r w:rsidRPr="00E7568B">
        <w:rPr>
          <w:noProof/>
        </w:rPr>
        <w:lastRenderedPageBreak/>
        <w:drawing>
          <wp:inline distT="0" distB="0" distL="0" distR="0" wp14:anchorId="50949554" wp14:editId="6F319B05">
            <wp:extent cx="5972810" cy="2328704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20BA9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2015</w:t>
      </w:r>
      <w:r w:rsidR="00E7568B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Q2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, yüzde)</w:t>
      </w:r>
    </w:p>
    <w:p w:rsidR="00E7568B" w:rsidRDefault="00E7568B" w:rsidP="00A43038">
      <w:pPr>
        <w:rPr>
          <w:noProof/>
        </w:rPr>
      </w:pPr>
      <w:r w:rsidRPr="00E7568B">
        <w:rPr>
          <w:noProof/>
        </w:rPr>
        <w:drawing>
          <wp:inline distT="0" distB="0" distL="0" distR="0" wp14:anchorId="1B23C659" wp14:editId="467D1122">
            <wp:extent cx="5972810" cy="2328704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2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6C6B7A">
        <w:rPr>
          <w:rFonts w:ascii="Times New Roman" w:hAnsi="Times New Roman" w:cs="Times New Roman"/>
        </w:rPr>
        <w:t>Haziran</w:t>
      </w:r>
      <w:r w:rsidR="00E81B8A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9380A">
        <w:rPr>
          <w:rFonts w:ascii="Times New Roman" w:hAnsi="Times New Roman" w:cs="Times New Roman"/>
        </w:rPr>
        <w:t>6</w:t>
      </w:r>
      <w:r w:rsidR="006C6B7A">
        <w:rPr>
          <w:rFonts w:ascii="Times New Roman" w:hAnsi="Times New Roman" w:cs="Times New Roman"/>
        </w:rPr>
        <w:t>9</w:t>
      </w:r>
      <w:r w:rsidR="004E0ADE">
        <w:rPr>
          <w:rFonts w:ascii="Times New Roman" w:hAnsi="Times New Roman" w:cs="Times New Roman"/>
        </w:rPr>
        <w:t>,</w:t>
      </w:r>
      <w:r w:rsidR="006C6B7A">
        <w:rPr>
          <w:rFonts w:ascii="Times New Roman" w:hAnsi="Times New Roman" w:cs="Times New Roman"/>
        </w:rPr>
        <w:t>8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6C6B7A" w:rsidRDefault="006C6B7A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Pr="008E3B58">
        <w:rPr>
          <w:rFonts w:ascii="Times New Roman" w:hAnsi="Times New Roman" w:cs="Times New Roman"/>
          <w:b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6C6B7A" w:rsidP="001B1F80">
      <w:pPr>
        <w:spacing w:after="0" w:line="240" w:lineRule="auto"/>
        <w:rPr>
          <w:rFonts w:ascii="Times New Roman" w:hAnsi="Times New Roman" w:cs="Times New Roman"/>
        </w:rPr>
      </w:pPr>
      <w:r w:rsidRPr="006C6B7A">
        <w:rPr>
          <w:noProof/>
        </w:rPr>
        <w:drawing>
          <wp:inline distT="0" distB="0" distL="0" distR="0" wp14:anchorId="70D9B08D" wp14:editId="6A570908">
            <wp:extent cx="5972810" cy="2555634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5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6A" w:rsidRDefault="00E36B6A" w:rsidP="004A23EE">
      <w:pPr>
        <w:spacing w:after="0" w:line="240" w:lineRule="auto"/>
      </w:pPr>
      <w:r>
        <w:separator/>
      </w:r>
    </w:p>
  </w:endnote>
  <w:endnote w:type="continuationSeparator" w:id="0">
    <w:p w:rsidR="00E36B6A" w:rsidRDefault="00E36B6A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3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6A" w:rsidRDefault="00E36B6A" w:rsidP="004A23EE">
      <w:pPr>
        <w:spacing w:after="0" w:line="240" w:lineRule="auto"/>
      </w:pPr>
      <w:r>
        <w:separator/>
      </w:r>
    </w:p>
  </w:footnote>
  <w:footnote w:type="continuationSeparator" w:id="0">
    <w:p w:rsidR="00E36B6A" w:rsidRDefault="00E36B6A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</w:t>
      </w:r>
      <w:bookmarkStart w:id="0" w:name="_GoBack"/>
      <w:bookmarkEnd w:id="0"/>
      <w:r w:rsidRPr="00EC1844">
        <w:rPr>
          <w:rFonts w:ascii="Times New Roman" w:hAnsi="Times New Roman" w:cs="Times New Roman"/>
        </w:rPr>
        <w:t>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33D95"/>
    <w:rsid w:val="00057309"/>
    <w:rsid w:val="00064E60"/>
    <w:rsid w:val="000701FD"/>
    <w:rsid w:val="000829E4"/>
    <w:rsid w:val="000B7AD4"/>
    <w:rsid w:val="000D175F"/>
    <w:rsid w:val="000D18BE"/>
    <w:rsid w:val="000F54C5"/>
    <w:rsid w:val="00145A47"/>
    <w:rsid w:val="00146E16"/>
    <w:rsid w:val="00190616"/>
    <w:rsid w:val="00190AA1"/>
    <w:rsid w:val="001B1F80"/>
    <w:rsid w:val="001C74C3"/>
    <w:rsid w:val="001D182D"/>
    <w:rsid w:val="001E11A2"/>
    <w:rsid w:val="001E5A63"/>
    <w:rsid w:val="001F27E9"/>
    <w:rsid w:val="001F7633"/>
    <w:rsid w:val="00202C8B"/>
    <w:rsid w:val="002105CD"/>
    <w:rsid w:val="00231C45"/>
    <w:rsid w:val="00233BD5"/>
    <w:rsid w:val="00251C0B"/>
    <w:rsid w:val="0027694A"/>
    <w:rsid w:val="00282937"/>
    <w:rsid w:val="002832A8"/>
    <w:rsid w:val="00287134"/>
    <w:rsid w:val="002942B2"/>
    <w:rsid w:val="00294CFE"/>
    <w:rsid w:val="00294D7E"/>
    <w:rsid w:val="002A7B7F"/>
    <w:rsid w:val="002B6D72"/>
    <w:rsid w:val="002C1F4A"/>
    <w:rsid w:val="002D3E19"/>
    <w:rsid w:val="002E1EF1"/>
    <w:rsid w:val="002E73BA"/>
    <w:rsid w:val="002F0465"/>
    <w:rsid w:val="003370D0"/>
    <w:rsid w:val="0034002F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57CB"/>
    <w:rsid w:val="003C04C6"/>
    <w:rsid w:val="003C0BEF"/>
    <w:rsid w:val="003C2E43"/>
    <w:rsid w:val="003D0E56"/>
    <w:rsid w:val="003D3F52"/>
    <w:rsid w:val="003D64D4"/>
    <w:rsid w:val="00410BBD"/>
    <w:rsid w:val="00432DF5"/>
    <w:rsid w:val="00453754"/>
    <w:rsid w:val="00465922"/>
    <w:rsid w:val="00497488"/>
    <w:rsid w:val="004A23EE"/>
    <w:rsid w:val="004B69F3"/>
    <w:rsid w:val="004C6023"/>
    <w:rsid w:val="004D2C17"/>
    <w:rsid w:val="004D6571"/>
    <w:rsid w:val="004E0ADE"/>
    <w:rsid w:val="004E1861"/>
    <w:rsid w:val="004E4A4B"/>
    <w:rsid w:val="005329DA"/>
    <w:rsid w:val="005347E9"/>
    <w:rsid w:val="005405F5"/>
    <w:rsid w:val="0055668B"/>
    <w:rsid w:val="00574A1E"/>
    <w:rsid w:val="00574C38"/>
    <w:rsid w:val="005C0E6F"/>
    <w:rsid w:val="005C53F8"/>
    <w:rsid w:val="006020BD"/>
    <w:rsid w:val="00622782"/>
    <w:rsid w:val="00635369"/>
    <w:rsid w:val="00645091"/>
    <w:rsid w:val="00683046"/>
    <w:rsid w:val="00690B06"/>
    <w:rsid w:val="006A27FA"/>
    <w:rsid w:val="006B5927"/>
    <w:rsid w:val="006C6B7A"/>
    <w:rsid w:val="006D14A0"/>
    <w:rsid w:val="006D41B5"/>
    <w:rsid w:val="006D6592"/>
    <w:rsid w:val="0070186C"/>
    <w:rsid w:val="00714059"/>
    <w:rsid w:val="00731B2B"/>
    <w:rsid w:val="007330A1"/>
    <w:rsid w:val="007441EB"/>
    <w:rsid w:val="00752DA5"/>
    <w:rsid w:val="00752EB0"/>
    <w:rsid w:val="0076711B"/>
    <w:rsid w:val="007736BE"/>
    <w:rsid w:val="0079380A"/>
    <w:rsid w:val="007A61F1"/>
    <w:rsid w:val="007D7B7B"/>
    <w:rsid w:val="007E11A9"/>
    <w:rsid w:val="007E6CF1"/>
    <w:rsid w:val="008112CA"/>
    <w:rsid w:val="0084668E"/>
    <w:rsid w:val="00851CEE"/>
    <w:rsid w:val="00863EE7"/>
    <w:rsid w:val="00874B5B"/>
    <w:rsid w:val="00882AC1"/>
    <w:rsid w:val="00895548"/>
    <w:rsid w:val="0089677D"/>
    <w:rsid w:val="008A6113"/>
    <w:rsid w:val="008B71FB"/>
    <w:rsid w:val="008C2C15"/>
    <w:rsid w:val="008D1077"/>
    <w:rsid w:val="008E3B58"/>
    <w:rsid w:val="00911741"/>
    <w:rsid w:val="00917F91"/>
    <w:rsid w:val="00923ED4"/>
    <w:rsid w:val="00935153"/>
    <w:rsid w:val="009444C4"/>
    <w:rsid w:val="009459CD"/>
    <w:rsid w:val="0096299B"/>
    <w:rsid w:val="00973A58"/>
    <w:rsid w:val="009805F0"/>
    <w:rsid w:val="00982408"/>
    <w:rsid w:val="009876B8"/>
    <w:rsid w:val="009B5C4A"/>
    <w:rsid w:val="009E0600"/>
    <w:rsid w:val="009E214D"/>
    <w:rsid w:val="009F54F1"/>
    <w:rsid w:val="00A07EA4"/>
    <w:rsid w:val="00A15D56"/>
    <w:rsid w:val="00A22487"/>
    <w:rsid w:val="00A3231D"/>
    <w:rsid w:val="00A43038"/>
    <w:rsid w:val="00A469B7"/>
    <w:rsid w:val="00A53543"/>
    <w:rsid w:val="00A5531A"/>
    <w:rsid w:val="00A77365"/>
    <w:rsid w:val="00A9092B"/>
    <w:rsid w:val="00AA68B6"/>
    <w:rsid w:val="00AD2065"/>
    <w:rsid w:val="00AD4583"/>
    <w:rsid w:val="00B03C1A"/>
    <w:rsid w:val="00B33D14"/>
    <w:rsid w:val="00B6407E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F3E70"/>
    <w:rsid w:val="00BF7233"/>
    <w:rsid w:val="00C044D5"/>
    <w:rsid w:val="00C144CC"/>
    <w:rsid w:val="00C20BA9"/>
    <w:rsid w:val="00C21D8B"/>
    <w:rsid w:val="00C33324"/>
    <w:rsid w:val="00C47034"/>
    <w:rsid w:val="00C47C53"/>
    <w:rsid w:val="00C52C44"/>
    <w:rsid w:val="00C92967"/>
    <w:rsid w:val="00CC0488"/>
    <w:rsid w:val="00CC71D5"/>
    <w:rsid w:val="00CC7D5F"/>
    <w:rsid w:val="00CE6C5E"/>
    <w:rsid w:val="00CF6422"/>
    <w:rsid w:val="00D2299D"/>
    <w:rsid w:val="00D23355"/>
    <w:rsid w:val="00D26301"/>
    <w:rsid w:val="00D64202"/>
    <w:rsid w:val="00D6755E"/>
    <w:rsid w:val="00D752C1"/>
    <w:rsid w:val="00D932F6"/>
    <w:rsid w:val="00DA35DE"/>
    <w:rsid w:val="00DA5CC9"/>
    <w:rsid w:val="00DA6FA5"/>
    <w:rsid w:val="00DC5FDC"/>
    <w:rsid w:val="00DD61C0"/>
    <w:rsid w:val="00DE38CA"/>
    <w:rsid w:val="00DE7934"/>
    <w:rsid w:val="00E01DC4"/>
    <w:rsid w:val="00E10F0E"/>
    <w:rsid w:val="00E127FA"/>
    <w:rsid w:val="00E36B18"/>
    <w:rsid w:val="00E36B6A"/>
    <w:rsid w:val="00E51A7C"/>
    <w:rsid w:val="00E7568B"/>
    <w:rsid w:val="00E81B8A"/>
    <w:rsid w:val="00EB586D"/>
    <w:rsid w:val="00EC1844"/>
    <w:rsid w:val="00EC5377"/>
    <w:rsid w:val="00EE67C7"/>
    <w:rsid w:val="00EF4E45"/>
    <w:rsid w:val="00F1466E"/>
    <w:rsid w:val="00F34396"/>
    <w:rsid w:val="00F37152"/>
    <w:rsid w:val="00F64A3D"/>
    <w:rsid w:val="00F6671E"/>
    <w:rsid w:val="00F66876"/>
    <w:rsid w:val="00F70C0D"/>
    <w:rsid w:val="00F80B2B"/>
    <w:rsid w:val="00F82FEE"/>
    <w:rsid w:val="00F83E50"/>
    <w:rsid w:val="00F866C6"/>
    <w:rsid w:val="00F90EA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9E973-E7AA-496A-9A96-227B70EC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m.behzat ekinci</cp:lastModifiedBy>
  <cp:revision>12</cp:revision>
  <dcterms:created xsi:type="dcterms:W3CDTF">2015-08-13T13:26:00Z</dcterms:created>
  <dcterms:modified xsi:type="dcterms:W3CDTF">2015-08-28T11:00:00Z</dcterms:modified>
</cp:coreProperties>
</file>